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Beszámolóhoz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 2015-ös költségvetés felhasználása</w:t>
      </w:r>
    </w:p>
    <w:tbl>
      <w:tblPr/>
      <w:tblGrid>
        <w:gridCol w:w="4531"/>
        <w:gridCol w:w="4531"/>
      </w:tblGrid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Pénztári egyenleg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forint</w:t>
            </w:r>
          </w:p>
        </w:tc>
      </w:tr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Nyitó egyenleg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           0</w:t>
            </w:r>
          </w:p>
        </w:tc>
      </w:tr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Pénztári befizetések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  38 500</w:t>
            </w:r>
          </w:p>
        </w:tc>
      </w:tr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Összesen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  38 500</w:t>
            </w:r>
          </w:p>
        </w:tc>
      </w:tr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Pénztári kifizetések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……… 15 990</w:t>
            </w:r>
          </w:p>
        </w:tc>
      </w:tr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Pénztári egyenleg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  22 510</w:t>
            </w:r>
          </w:p>
        </w:tc>
      </w:tr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Bankszámla egyenleg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forint</w:t>
            </w:r>
          </w:p>
        </w:tc>
      </w:tr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Nyitó egyenleg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  44.272</w:t>
            </w:r>
          </w:p>
        </w:tc>
      </w:tr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Banki bevétel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390 010</w:t>
            </w:r>
          </w:p>
        </w:tc>
      </w:tr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Összesen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434.282</w:t>
            </w:r>
          </w:p>
        </w:tc>
      </w:tr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Banki kiadás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133 334</w:t>
            </w:r>
          </w:p>
        </w:tc>
      </w:tr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Banki egyenleg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300 948</w:t>
            </w:r>
          </w:p>
        </w:tc>
      </w:tr>
      <w:tr>
        <w:trPr>
          <w:trHeight w:val="1" w:hRule="atLeast"/>
          <w:jc w:val="left"/>
        </w:trPr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Összesen</w:t>
            </w:r>
          </w:p>
        </w:tc>
        <w:tc>
          <w:tcPr>
            <w:tcW w:w="453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</w:t>
            </w: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323 458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